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r w:rsidRPr="00C04CF8">
        <w:rPr>
          <w:rFonts w:ascii="Times New Roman" w:hAnsi="Times New Roman" w:cs="Times New Roman"/>
          <w:color w:val="1B1B1B"/>
          <w:sz w:val="24"/>
          <w:szCs w:val="24"/>
          <w:shd w:val="clear" w:color="auto" w:fill="FFFFFF"/>
        </w:rPr>
        <w:t>Recollect and write stories</w:t>
      </w: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Pr="00C04CF8" w:rsidRDefault="00E13B60" w:rsidP="00E13B60">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13B60" w:rsidRPr="008E660A" w:rsidRDefault="00E13B60" w:rsidP="00E13B60">
      <w:pPr>
        <w:pStyle w:val="ListParagraph"/>
        <w:numPr>
          <w:ilvl w:val="0"/>
          <w:numId w:val="1"/>
        </w:numPr>
        <w:shd w:val="clear" w:color="auto" w:fill="FFFFFF"/>
        <w:spacing w:after="0" w:line="480" w:lineRule="auto"/>
        <w:rPr>
          <w:rFonts w:ascii="Times New Roman" w:eastAsia="Times New Roman" w:hAnsi="Times New Roman" w:cs="Times New Roman"/>
          <w:b/>
          <w:sz w:val="24"/>
          <w:szCs w:val="24"/>
          <w:lang w:eastAsia="en-GB"/>
        </w:rPr>
      </w:pPr>
      <w:r w:rsidRPr="009037C9">
        <w:rPr>
          <w:rFonts w:ascii="Times New Roman" w:eastAsia="Times New Roman" w:hAnsi="Times New Roman" w:cs="Times New Roman"/>
          <w:b/>
          <w:sz w:val="24"/>
          <w:szCs w:val="24"/>
          <w:lang w:eastAsia="en-GB"/>
        </w:rPr>
        <w:lastRenderedPageBreak/>
        <w:t xml:space="preserve">Recollect and write stories as you experienced or heard about any of the HR Strategies issues in your organization or any organization. </w:t>
      </w:r>
    </w:p>
    <w:p w:rsidR="00E13B60" w:rsidRPr="00C04CF8" w:rsidRDefault="00E13B60" w:rsidP="00E13B60">
      <w:pPr>
        <w:spacing w:line="480" w:lineRule="auto"/>
        <w:rPr>
          <w:rFonts w:ascii="Times New Roman" w:hAnsi="Times New Roman" w:cs="Times New Roman"/>
          <w:color w:val="000000" w:themeColor="text1"/>
          <w:sz w:val="24"/>
          <w:szCs w:val="24"/>
        </w:rPr>
      </w:pPr>
      <w:r w:rsidRPr="00C04CF8">
        <w:rPr>
          <w:rFonts w:ascii="Times New Roman" w:hAnsi="Times New Roman" w:cs="Times New Roman"/>
          <w:color w:val="000000" w:themeColor="text1"/>
          <w:sz w:val="24"/>
          <w:szCs w:val="24"/>
        </w:rPr>
        <w:t xml:space="preserve">Telecommuting </w:t>
      </w:r>
    </w:p>
    <w:p w:rsidR="00E13B60" w:rsidRPr="00C04CF8" w:rsidRDefault="00E13B60" w:rsidP="00E13B60">
      <w:pPr>
        <w:spacing w:line="480" w:lineRule="auto"/>
        <w:ind w:firstLine="720"/>
        <w:rPr>
          <w:rFonts w:ascii="Times New Roman" w:hAnsi="Times New Roman" w:cs="Times New Roman"/>
          <w:color w:val="000000" w:themeColor="text1"/>
          <w:sz w:val="24"/>
          <w:szCs w:val="24"/>
        </w:rPr>
      </w:pPr>
      <w:r w:rsidRPr="00C04CF8">
        <w:rPr>
          <w:rFonts w:ascii="Times New Roman" w:hAnsi="Times New Roman" w:cs="Times New Roman"/>
          <w:color w:val="000000" w:themeColor="text1"/>
          <w:sz w:val="24"/>
          <w:szCs w:val="24"/>
        </w:rPr>
        <w:t>One of the stories I have heard is that some top-level executives discourage or prohibit employees from telecommuting that clued working from homes and other remote areas since they imagine such activities interfere with teamwork</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(Albrecht et al. 2015)</w:t>
      </w:r>
      <w:r w:rsidRPr="00C04CF8">
        <w:rPr>
          <w:rFonts w:ascii="Times New Roman" w:hAnsi="Times New Roman" w:cs="Times New Roman"/>
          <w:color w:val="000000" w:themeColor="text1"/>
          <w:sz w:val="24"/>
          <w:szCs w:val="24"/>
        </w:rPr>
        <w:t xml:space="preserve">.  However, the techno-savvy managers argue that </w:t>
      </w:r>
      <w:r w:rsidRPr="00C04CF8">
        <w:rPr>
          <w:rFonts w:ascii="Times New Roman" w:eastAsia="Calibri" w:hAnsi="Times New Roman" w:cs="Times New Roman"/>
          <w:color w:val="000000" w:themeColor="text1"/>
          <w:sz w:val="24"/>
          <w:szCs w:val="24"/>
        </w:rPr>
        <w:t>this is an innovative manner of working has been embraced by techno-savvy organizations that appreciate the improved productivity and the cost-saving amongst the other benefits myriad to be obtained.</w:t>
      </w:r>
      <w:r w:rsidRPr="00C04CF8">
        <w:rPr>
          <w:rFonts w:ascii="Times New Roman" w:hAnsi="Times New Roman" w:cs="Times New Roman"/>
          <w:color w:val="000000" w:themeColor="text1"/>
          <w:sz w:val="24"/>
          <w:szCs w:val="24"/>
        </w:rPr>
        <w:t xml:space="preserve"> Therefore the top-level managers should only discourage telecommuting if it does not improve the richness of the company. </w:t>
      </w:r>
      <w:r w:rsidRPr="00C04CF8">
        <w:rPr>
          <w:rFonts w:ascii="Times New Roman" w:eastAsia="Times New Roman" w:hAnsi="Times New Roman" w:cs="Times New Roman"/>
          <w:color w:val="000000"/>
          <w:sz w:val="24"/>
          <w:szCs w:val="24"/>
        </w:rPr>
        <w:t>Remote work has become a famous subject within the companies and the fashionable press.</w:t>
      </w:r>
      <w:r w:rsidRPr="00C04CF8">
        <w:rPr>
          <w:rFonts w:ascii="Times New Roman" w:hAnsi="Times New Roman" w:cs="Times New Roman"/>
          <w:color w:val="000000"/>
          <w:sz w:val="24"/>
          <w:szCs w:val="24"/>
        </w:rPr>
        <w:t xml:space="preserve"> Increased yearning among workers for flexibility in their work is one of the most considerable changes. Increased longing for flexibility coupled with advanced technologies is eliminating centralized offices as people can collaborate and work from disparate locations around the world. </w:t>
      </w:r>
      <w:r w:rsidRPr="00C04CF8">
        <w:rPr>
          <w:rFonts w:ascii="Times New Roman" w:eastAsia="Times New Roman" w:hAnsi="Times New Roman" w:cs="Times New Roman"/>
          <w:color w:val="000000" w:themeColor="text1"/>
          <w:sz w:val="24"/>
          <w:szCs w:val="24"/>
        </w:rPr>
        <w:t>Home-based or remote work is an optional work arrangement form which involves employees operating mainly from their homes, instead of their conventional office settings or environments</w:t>
      </w:r>
      <w:r w:rsidRPr="00294F7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(Bratton </w:t>
      </w:r>
      <w:r w:rsidRPr="00294F72">
        <w:rPr>
          <w:rFonts w:ascii="Times New Roman" w:hAnsi="Times New Roman" w:cs="Times New Roman"/>
          <w:color w:val="222222"/>
          <w:sz w:val="24"/>
          <w:szCs w:val="24"/>
          <w:shd w:val="clear" w:color="auto" w:fill="FFFFFF"/>
        </w:rPr>
        <w:t>&amp; Gold, 2017)</w:t>
      </w:r>
      <w:r w:rsidRPr="00C04CF8">
        <w:rPr>
          <w:rFonts w:ascii="Times New Roman" w:eastAsia="Times New Roman" w:hAnsi="Times New Roman" w:cs="Times New Roman"/>
          <w:color w:val="000000" w:themeColor="text1"/>
          <w:sz w:val="24"/>
          <w:szCs w:val="24"/>
        </w:rPr>
        <w:t>.</w:t>
      </w:r>
      <w:r w:rsidRPr="00C04CF8">
        <w:rPr>
          <w:rFonts w:ascii="Times New Roman" w:hAnsi="Times New Roman" w:cs="Times New Roman"/>
          <w:color w:val="000000" w:themeColor="text1"/>
          <w:sz w:val="24"/>
          <w:szCs w:val="24"/>
        </w:rPr>
        <w:t xml:space="preserve"> </w:t>
      </w:r>
      <w:r w:rsidRPr="00C04CF8">
        <w:rPr>
          <w:rFonts w:ascii="Times New Roman" w:eastAsia="Times New Roman" w:hAnsi="Times New Roman" w:cs="Times New Roman"/>
          <w:color w:val="000000" w:themeColor="text1"/>
          <w:sz w:val="24"/>
          <w:szCs w:val="24"/>
        </w:rPr>
        <w:t>The regular workspace is swiftly evolving, and contemporary business organizations need to renovate and change if they would like to attract and retain the most talented people</w:t>
      </w:r>
      <w:r w:rsidRPr="00C04CF8">
        <w:rPr>
          <w:rFonts w:ascii="Times New Roman" w:hAnsi="Times New Roman" w:cs="Times New Roman"/>
          <w:color w:val="000000" w:themeColor="text1"/>
          <w:sz w:val="24"/>
          <w:szCs w:val="24"/>
        </w:rPr>
        <w:t>.</w:t>
      </w:r>
    </w:p>
    <w:p w:rsidR="00E13B60" w:rsidRPr="00C04CF8" w:rsidRDefault="00E13B60" w:rsidP="00E13B60">
      <w:pPr>
        <w:spacing w:line="480" w:lineRule="auto"/>
        <w:rPr>
          <w:rFonts w:ascii="Times New Roman" w:hAnsi="Times New Roman" w:cs="Times New Roman"/>
          <w:sz w:val="24"/>
          <w:szCs w:val="24"/>
        </w:rPr>
      </w:pPr>
      <w:r w:rsidRPr="00C04CF8">
        <w:rPr>
          <w:rFonts w:ascii="Times New Roman" w:hAnsi="Times New Roman" w:cs="Times New Roman"/>
          <w:sz w:val="24"/>
          <w:szCs w:val="24"/>
        </w:rPr>
        <w:t>Employee engagement and motivation</w:t>
      </w:r>
    </w:p>
    <w:p w:rsidR="00E13B60" w:rsidRPr="00105B88" w:rsidRDefault="00E13B60" w:rsidP="00E13B60">
      <w:pPr>
        <w:spacing w:line="480" w:lineRule="auto"/>
        <w:ind w:firstLine="720"/>
        <w:rPr>
          <w:rFonts w:ascii="Times New Roman" w:hAnsi="Times New Roman" w:cs="Times New Roman"/>
          <w:color w:val="000000" w:themeColor="text1"/>
          <w:sz w:val="24"/>
          <w:szCs w:val="24"/>
        </w:rPr>
      </w:pPr>
      <w:r w:rsidRPr="00C04CF8">
        <w:rPr>
          <w:rFonts w:ascii="Times New Roman" w:hAnsi="Times New Roman" w:cs="Times New Roman"/>
          <w:sz w:val="24"/>
          <w:szCs w:val="24"/>
        </w:rPr>
        <w:t>Another story I have heard is that leaders or managers should not be concerned about employee engagement when most of their direct reports are corporate professionals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(Albrecht et al. 2015)</w:t>
      </w:r>
      <w:r w:rsidRPr="00C04CF8">
        <w:rPr>
          <w:rFonts w:ascii="Times New Roman" w:hAnsi="Times New Roman" w:cs="Times New Roman"/>
          <w:sz w:val="24"/>
          <w:szCs w:val="24"/>
        </w:rPr>
        <w:t xml:space="preserve">. However, upon discussion with my manager, he noted that </w:t>
      </w:r>
      <w:r w:rsidRPr="00C04CF8">
        <w:rPr>
          <w:rFonts w:ascii="Times New Roman" w:hAnsi="Times New Roman" w:cs="Times New Roman"/>
          <w:color w:val="000000" w:themeColor="text1"/>
          <w:sz w:val="24"/>
          <w:szCs w:val="24"/>
        </w:rPr>
        <w:t xml:space="preserve">better engagement of employees implies better productivities to the company. Companies whose workers are engaged to perform better than a corporation whose staff members are involved. The employees feel a connection with the business when they engaged at work. They work harder since they believe that the work they are doing is essential. </w:t>
      </w:r>
      <w:r w:rsidRPr="00C04CF8">
        <w:rPr>
          <w:rFonts w:ascii="Times New Roman" w:hAnsi="Times New Roman" w:cs="Times New Roman"/>
          <w:sz w:val="24"/>
          <w:szCs w:val="24"/>
        </w:rPr>
        <w:t>Motivation and engagement drive employees and the company in general to succeed. It is what keeps the company's wheel to success moving. When employees are properly motivated, they can do almost everything to ensure the company achieves its strategic goals. The motivated team goes out there way in making sure that work with little or no supervision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(Bratton </w:t>
      </w:r>
      <w:r w:rsidRPr="00294F72">
        <w:rPr>
          <w:rFonts w:ascii="Times New Roman" w:hAnsi="Times New Roman" w:cs="Times New Roman"/>
          <w:color w:val="222222"/>
          <w:sz w:val="24"/>
          <w:szCs w:val="24"/>
          <w:shd w:val="clear" w:color="auto" w:fill="FFFFFF"/>
        </w:rPr>
        <w:t>&amp; Gold, 2017)</w:t>
      </w:r>
      <w:r w:rsidRPr="00C04CF8">
        <w:rPr>
          <w:rFonts w:ascii="Times New Roman" w:hAnsi="Times New Roman" w:cs="Times New Roman"/>
          <w:sz w:val="24"/>
          <w:szCs w:val="24"/>
        </w:rPr>
        <w:t xml:space="preserve">. Engaged workers love being part of solutions. They enjoy participating in the decision-making process and freely volunteer to be part of the company's solution. When they are engaged at work, they will be more ready and willing to assist when the firm they work to pursue a noble cause. </w:t>
      </w:r>
      <w:r w:rsidRPr="00C04CF8">
        <w:rPr>
          <w:rFonts w:ascii="Times New Roman" w:hAnsi="Times New Roman" w:cs="Times New Roman"/>
          <w:color w:val="000000" w:themeColor="text1"/>
          <w:sz w:val="24"/>
          <w:szCs w:val="24"/>
        </w:rPr>
        <w:t>Engaged workers are less likely to leave an organization or quit for another job. If staff members feed recognized and needed when they go into work every day, they form great connections with the business and other employees that are not easily eroded. By instilling and sustaining these relationships, the company minimizes the risk of high employee turnover. Every person requires enough salary and financial compensation to maintain their standards of living and even raise it if possible. Therefore</w:t>
      </w:r>
      <w:r>
        <w:rPr>
          <w:rFonts w:ascii="Times New Roman" w:hAnsi="Times New Roman" w:cs="Times New Roman"/>
          <w:color w:val="000000" w:themeColor="text1"/>
          <w:sz w:val="24"/>
          <w:szCs w:val="24"/>
        </w:rPr>
        <w:t>,</w:t>
      </w:r>
      <w:r w:rsidRPr="00C04CF8">
        <w:rPr>
          <w:rFonts w:ascii="Times New Roman" w:hAnsi="Times New Roman" w:cs="Times New Roman"/>
          <w:color w:val="000000" w:themeColor="text1"/>
          <w:sz w:val="24"/>
          <w:szCs w:val="24"/>
        </w:rPr>
        <w:t xml:space="preserve"> high financial compensation would definitely increase the level of engagement of employees. The motivation of employees is an integral part of the workplace that results in the department performance and even the whole organization. Employees' motivation should be a usual routine. The motivation of employees is a direct outcome of their interactions with their managers</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(Albrecht et al. 2015)</w:t>
      </w:r>
      <w:r w:rsidRPr="00C04CF8">
        <w:rPr>
          <w:rFonts w:ascii="Times New Roman" w:hAnsi="Times New Roman" w:cs="Times New Roman"/>
          <w:color w:val="000000" w:themeColor="text1"/>
          <w:sz w:val="24"/>
          <w:szCs w:val="24"/>
        </w:rPr>
        <w:t>. Motivated workers can allow a company to accomplish higher output levels and le</w:t>
      </w:r>
      <w:r>
        <w:rPr>
          <w:rFonts w:ascii="Times New Roman" w:hAnsi="Times New Roman" w:cs="Times New Roman"/>
          <w:color w:val="000000" w:themeColor="text1"/>
          <w:sz w:val="24"/>
          <w:szCs w:val="24"/>
        </w:rPr>
        <w:t>ad to increased productivities.</w:t>
      </w:r>
    </w:p>
    <w:p w:rsidR="00E13B60" w:rsidRDefault="00E13B60" w:rsidP="00E13B60">
      <w:pPr>
        <w:spacing w:line="480" w:lineRule="auto"/>
        <w:jc w:val="center"/>
        <w:rPr>
          <w:rFonts w:ascii="Times New Roman" w:hAnsi="Times New Roman" w:cs="Times New Roman"/>
          <w:sz w:val="24"/>
          <w:szCs w:val="24"/>
        </w:rPr>
      </w:pPr>
    </w:p>
    <w:p w:rsidR="00E13B60" w:rsidRDefault="00E13B60" w:rsidP="00E13B60">
      <w:pPr>
        <w:spacing w:line="480" w:lineRule="auto"/>
        <w:jc w:val="center"/>
        <w:rPr>
          <w:rFonts w:ascii="Times New Roman" w:hAnsi="Times New Roman" w:cs="Times New Roman"/>
          <w:sz w:val="24"/>
          <w:szCs w:val="24"/>
        </w:rPr>
      </w:pPr>
    </w:p>
    <w:p w:rsidR="00E13B60" w:rsidRDefault="00E13B60" w:rsidP="00E13B6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13B60" w:rsidRPr="00294F72" w:rsidRDefault="00E13B60" w:rsidP="00E13B60">
      <w:pPr>
        <w:spacing w:line="480" w:lineRule="auto"/>
        <w:ind w:left="720" w:hanging="720"/>
        <w:rPr>
          <w:rFonts w:ascii="Times New Roman" w:hAnsi="Times New Roman" w:cs="Times New Roman"/>
          <w:sz w:val="24"/>
          <w:szCs w:val="24"/>
        </w:rPr>
      </w:pPr>
      <w:r w:rsidRPr="00294F72">
        <w:rPr>
          <w:rFonts w:ascii="Times New Roman" w:hAnsi="Times New Roman" w:cs="Times New Roman"/>
          <w:color w:val="222222"/>
          <w:sz w:val="24"/>
          <w:szCs w:val="24"/>
          <w:shd w:val="clear" w:color="auto" w:fill="FFFFFF"/>
        </w:rPr>
        <w:t>Albrecht, S. L., Bakker, A. B., Gruman, J. A., Macey, W. H., &amp; Saks, A. M. (2015). Employee engagement, human resource management practices and competitive advantage: An integrated approach. </w:t>
      </w:r>
      <w:r w:rsidRPr="00294F72">
        <w:rPr>
          <w:rFonts w:ascii="Times New Roman" w:hAnsi="Times New Roman" w:cs="Times New Roman"/>
          <w:i/>
          <w:iCs/>
          <w:color w:val="222222"/>
          <w:sz w:val="24"/>
          <w:szCs w:val="24"/>
          <w:shd w:val="clear" w:color="auto" w:fill="FFFFFF"/>
        </w:rPr>
        <w:t>Journal of Organizational Effectiveness: People and Performance</w:t>
      </w:r>
      <w:r w:rsidRPr="00294F72">
        <w:rPr>
          <w:rFonts w:ascii="Times New Roman" w:hAnsi="Times New Roman" w:cs="Times New Roman"/>
          <w:color w:val="222222"/>
          <w:sz w:val="24"/>
          <w:szCs w:val="24"/>
          <w:shd w:val="clear" w:color="auto" w:fill="FFFFFF"/>
        </w:rPr>
        <w:t>, </w:t>
      </w:r>
      <w:r w:rsidRPr="00294F72">
        <w:rPr>
          <w:rFonts w:ascii="Times New Roman" w:hAnsi="Times New Roman" w:cs="Times New Roman"/>
          <w:i/>
          <w:iCs/>
          <w:color w:val="222222"/>
          <w:sz w:val="24"/>
          <w:szCs w:val="24"/>
          <w:shd w:val="clear" w:color="auto" w:fill="FFFFFF"/>
        </w:rPr>
        <w:t>2</w:t>
      </w:r>
      <w:r w:rsidRPr="00294F72">
        <w:rPr>
          <w:rFonts w:ascii="Times New Roman" w:hAnsi="Times New Roman" w:cs="Times New Roman"/>
          <w:color w:val="222222"/>
          <w:sz w:val="24"/>
          <w:szCs w:val="24"/>
          <w:shd w:val="clear" w:color="auto" w:fill="FFFFFF"/>
        </w:rPr>
        <w:t>(1), 7-35.</w:t>
      </w:r>
    </w:p>
    <w:p w:rsidR="00E13B60" w:rsidRPr="00294F72" w:rsidRDefault="00E13B60" w:rsidP="00E13B60">
      <w:pPr>
        <w:spacing w:line="480" w:lineRule="auto"/>
        <w:ind w:left="720" w:hanging="720"/>
        <w:rPr>
          <w:rFonts w:ascii="Times New Roman" w:hAnsi="Times New Roman" w:cs="Times New Roman"/>
          <w:sz w:val="24"/>
          <w:szCs w:val="24"/>
        </w:rPr>
      </w:pPr>
      <w:r w:rsidRPr="00294F72">
        <w:rPr>
          <w:rFonts w:ascii="Times New Roman" w:hAnsi="Times New Roman" w:cs="Times New Roman"/>
          <w:color w:val="222222"/>
          <w:sz w:val="24"/>
          <w:szCs w:val="24"/>
          <w:shd w:val="clear" w:color="auto" w:fill="FFFFFF"/>
        </w:rPr>
        <w:t>Bratton, J., &amp; Gold, J. (2017). </w:t>
      </w:r>
      <w:r w:rsidRPr="00294F72">
        <w:rPr>
          <w:rFonts w:ascii="Times New Roman" w:hAnsi="Times New Roman" w:cs="Times New Roman"/>
          <w:i/>
          <w:iCs/>
          <w:color w:val="222222"/>
          <w:sz w:val="24"/>
          <w:szCs w:val="24"/>
          <w:shd w:val="clear" w:color="auto" w:fill="FFFFFF"/>
        </w:rPr>
        <w:t>Human resource management: theory and practice</w:t>
      </w:r>
      <w:r w:rsidRPr="00294F72">
        <w:rPr>
          <w:rFonts w:ascii="Times New Roman" w:hAnsi="Times New Roman" w:cs="Times New Roman"/>
          <w:color w:val="222222"/>
          <w:sz w:val="24"/>
          <w:szCs w:val="24"/>
          <w:shd w:val="clear" w:color="auto" w:fill="FFFFFF"/>
        </w:rPr>
        <w:t>. Palgrave.</w:t>
      </w:r>
    </w:p>
    <w:p w:rsidR="008F5296" w:rsidRDefault="008F5296"/>
    <w:sectPr w:rsidR="008F5296" w:rsidSect="00E13B6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2CB" w:rsidRDefault="00A472CB" w:rsidP="00E13B60">
      <w:pPr>
        <w:spacing w:after="0" w:line="240" w:lineRule="auto"/>
      </w:pPr>
      <w:r>
        <w:separator/>
      </w:r>
    </w:p>
  </w:endnote>
  <w:endnote w:type="continuationSeparator" w:id="1">
    <w:p w:rsidR="00A472CB" w:rsidRDefault="00A472CB" w:rsidP="00E13B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2CB" w:rsidRDefault="00A472CB" w:rsidP="00E13B60">
      <w:pPr>
        <w:spacing w:after="0" w:line="240" w:lineRule="auto"/>
      </w:pPr>
      <w:r>
        <w:separator/>
      </w:r>
    </w:p>
  </w:footnote>
  <w:footnote w:type="continuationSeparator" w:id="1">
    <w:p w:rsidR="00A472CB" w:rsidRDefault="00A472CB" w:rsidP="00E13B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807720"/>
      <w:docPartObj>
        <w:docPartGallery w:val="Page Numbers (Top of Page)"/>
        <w:docPartUnique/>
      </w:docPartObj>
    </w:sdtPr>
    <w:sdtContent>
      <w:p w:rsidR="00E13B60" w:rsidRPr="00E13B60" w:rsidRDefault="00E13B60">
        <w:pPr>
          <w:pStyle w:val="Header"/>
          <w:rPr>
            <w:rFonts w:ascii="Times New Roman" w:hAnsi="Times New Roman" w:cs="Times New Roman"/>
            <w:sz w:val="24"/>
            <w:szCs w:val="24"/>
          </w:rPr>
        </w:pPr>
        <w:r w:rsidRPr="00E13B60">
          <w:rPr>
            <w:rFonts w:ascii="Times New Roman" w:hAnsi="Times New Roman" w:cs="Times New Roman"/>
            <w:sz w:val="24"/>
            <w:szCs w:val="24"/>
          </w:rPr>
          <w:t>RECOLLECT AND WRITE STORIES</w:t>
        </w:r>
        <w:r w:rsidRPr="00E13B60">
          <w:rPr>
            <w:rFonts w:ascii="Times New Roman" w:hAnsi="Times New Roman" w:cs="Times New Roman"/>
            <w:sz w:val="24"/>
            <w:szCs w:val="24"/>
          </w:rPr>
          <w:tab/>
        </w:r>
        <w:r w:rsidRPr="00E13B60">
          <w:rPr>
            <w:rFonts w:ascii="Times New Roman" w:hAnsi="Times New Roman" w:cs="Times New Roman"/>
            <w:sz w:val="24"/>
            <w:szCs w:val="24"/>
          </w:rPr>
          <w:tab/>
        </w:r>
        <w:r w:rsidRPr="00E13B60">
          <w:rPr>
            <w:rFonts w:ascii="Times New Roman" w:hAnsi="Times New Roman" w:cs="Times New Roman"/>
            <w:sz w:val="24"/>
            <w:szCs w:val="24"/>
          </w:rPr>
          <w:fldChar w:fldCharType="begin"/>
        </w:r>
        <w:r w:rsidRPr="00E13B60">
          <w:rPr>
            <w:rFonts w:ascii="Times New Roman" w:hAnsi="Times New Roman" w:cs="Times New Roman"/>
            <w:sz w:val="24"/>
            <w:szCs w:val="24"/>
          </w:rPr>
          <w:instrText xml:space="preserve"> PAGE   \* MERGEFORMAT </w:instrText>
        </w:r>
        <w:r w:rsidRPr="00E13B60">
          <w:rPr>
            <w:rFonts w:ascii="Times New Roman" w:hAnsi="Times New Roman" w:cs="Times New Roman"/>
            <w:sz w:val="24"/>
            <w:szCs w:val="24"/>
          </w:rPr>
          <w:fldChar w:fldCharType="separate"/>
        </w:r>
        <w:r>
          <w:rPr>
            <w:rFonts w:ascii="Times New Roman" w:hAnsi="Times New Roman" w:cs="Times New Roman"/>
            <w:noProof/>
            <w:sz w:val="24"/>
            <w:szCs w:val="24"/>
          </w:rPr>
          <w:t>4</w:t>
        </w:r>
        <w:r w:rsidRPr="00E13B6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60" w:rsidRPr="00E13B60" w:rsidRDefault="00E13B60" w:rsidP="00E13B60">
    <w:pPr>
      <w:pStyle w:val="Header"/>
      <w:jc w:val="right"/>
      <w:rPr>
        <w:rFonts w:ascii="Times New Roman" w:hAnsi="Times New Roman" w:cs="Times New Roman"/>
        <w:sz w:val="24"/>
        <w:szCs w:val="24"/>
      </w:rPr>
    </w:pPr>
    <w:r w:rsidRPr="00E13B60">
      <w:rPr>
        <w:rFonts w:ascii="Times New Roman" w:hAnsi="Times New Roman" w:cs="Times New Roman"/>
        <w:sz w:val="24"/>
        <w:szCs w:val="24"/>
      </w:rPr>
      <w:t xml:space="preserve">Running head: RECOLLECT AND WRITE STORIES </w:t>
    </w:r>
    <w:r w:rsidRPr="00E13B60">
      <w:rPr>
        <w:rFonts w:ascii="Times New Roman" w:hAnsi="Times New Roman" w:cs="Times New Roman"/>
        <w:sz w:val="24"/>
        <w:szCs w:val="24"/>
      </w:rPr>
      <w:tab/>
    </w:r>
    <w:r w:rsidRPr="00E13B60">
      <w:rPr>
        <w:rFonts w:ascii="Times New Roman" w:hAnsi="Times New Roman" w:cs="Times New Roman"/>
        <w:sz w:val="24"/>
        <w:szCs w:val="24"/>
      </w:rPr>
      <w:tab/>
    </w:r>
    <w:sdt>
      <w:sdtPr>
        <w:rPr>
          <w:rFonts w:ascii="Times New Roman" w:hAnsi="Times New Roman" w:cs="Times New Roman"/>
          <w:sz w:val="24"/>
          <w:szCs w:val="24"/>
        </w:rPr>
        <w:id w:val="90807672"/>
        <w:docPartObj>
          <w:docPartGallery w:val="Page Numbers (Top of Page)"/>
          <w:docPartUnique/>
        </w:docPartObj>
      </w:sdtPr>
      <w:sdtContent>
        <w:r w:rsidRPr="00E13B60">
          <w:rPr>
            <w:rFonts w:ascii="Times New Roman" w:hAnsi="Times New Roman" w:cs="Times New Roman"/>
            <w:sz w:val="24"/>
            <w:szCs w:val="24"/>
          </w:rPr>
          <w:fldChar w:fldCharType="begin"/>
        </w:r>
        <w:r w:rsidRPr="00E13B60">
          <w:rPr>
            <w:rFonts w:ascii="Times New Roman" w:hAnsi="Times New Roman" w:cs="Times New Roman"/>
            <w:sz w:val="24"/>
            <w:szCs w:val="24"/>
          </w:rPr>
          <w:instrText xml:space="preserve"> PAGE   \* MERGEFORMAT </w:instrText>
        </w:r>
        <w:r w:rsidRPr="00E13B60">
          <w:rPr>
            <w:rFonts w:ascii="Times New Roman" w:hAnsi="Times New Roman" w:cs="Times New Roman"/>
            <w:sz w:val="24"/>
            <w:szCs w:val="24"/>
          </w:rPr>
          <w:fldChar w:fldCharType="separate"/>
        </w:r>
        <w:r w:rsidR="00A472CB">
          <w:rPr>
            <w:rFonts w:ascii="Times New Roman" w:hAnsi="Times New Roman" w:cs="Times New Roman"/>
            <w:noProof/>
            <w:sz w:val="24"/>
            <w:szCs w:val="24"/>
          </w:rPr>
          <w:t>1</w:t>
        </w:r>
        <w:r w:rsidRPr="00E13B6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5B3D1F"/>
    <w:multiLevelType w:val="hybridMultilevel"/>
    <w:tmpl w:val="8B5E079C"/>
    <w:lvl w:ilvl="0" w:tplc="A74807A6">
      <w:start w:val="1"/>
      <w:numFmt w:val="decimal"/>
      <w:lvlText w:val="%1-"/>
      <w:lvlJc w:val="left"/>
      <w:pPr>
        <w:ind w:left="720" w:hanging="360"/>
      </w:pPr>
      <w:rPr>
        <w:rFonts w:hint="default"/>
      </w:rPr>
    </w:lvl>
    <w:lvl w:ilvl="1" w:tplc="A6D4BBD2" w:tentative="1">
      <w:start w:val="1"/>
      <w:numFmt w:val="lowerLetter"/>
      <w:lvlText w:val="%2."/>
      <w:lvlJc w:val="left"/>
      <w:pPr>
        <w:ind w:left="1440" w:hanging="360"/>
      </w:pPr>
    </w:lvl>
    <w:lvl w:ilvl="2" w:tplc="E5A211A4" w:tentative="1">
      <w:start w:val="1"/>
      <w:numFmt w:val="lowerRoman"/>
      <w:lvlText w:val="%3."/>
      <w:lvlJc w:val="right"/>
      <w:pPr>
        <w:ind w:left="2160" w:hanging="180"/>
      </w:pPr>
    </w:lvl>
    <w:lvl w:ilvl="3" w:tplc="2410FDF2" w:tentative="1">
      <w:start w:val="1"/>
      <w:numFmt w:val="decimal"/>
      <w:lvlText w:val="%4."/>
      <w:lvlJc w:val="left"/>
      <w:pPr>
        <w:ind w:left="2880" w:hanging="360"/>
      </w:pPr>
    </w:lvl>
    <w:lvl w:ilvl="4" w:tplc="D9F89A82" w:tentative="1">
      <w:start w:val="1"/>
      <w:numFmt w:val="lowerLetter"/>
      <w:lvlText w:val="%5."/>
      <w:lvlJc w:val="left"/>
      <w:pPr>
        <w:ind w:left="3600" w:hanging="360"/>
      </w:pPr>
    </w:lvl>
    <w:lvl w:ilvl="5" w:tplc="F620C2F0" w:tentative="1">
      <w:start w:val="1"/>
      <w:numFmt w:val="lowerRoman"/>
      <w:lvlText w:val="%6."/>
      <w:lvlJc w:val="right"/>
      <w:pPr>
        <w:ind w:left="4320" w:hanging="180"/>
      </w:pPr>
    </w:lvl>
    <w:lvl w:ilvl="6" w:tplc="F6804C06" w:tentative="1">
      <w:start w:val="1"/>
      <w:numFmt w:val="decimal"/>
      <w:lvlText w:val="%7."/>
      <w:lvlJc w:val="left"/>
      <w:pPr>
        <w:ind w:left="5040" w:hanging="360"/>
      </w:pPr>
    </w:lvl>
    <w:lvl w:ilvl="7" w:tplc="10E2099E" w:tentative="1">
      <w:start w:val="1"/>
      <w:numFmt w:val="lowerLetter"/>
      <w:lvlText w:val="%8."/>
      <w:lvlJc w:val="left"/>
      <w:pPr>
        <w:ind w:left="5760" w:hanging="360"/>
      </w:pPr>
    </w:lvl>
    <w:lvl w:ilvl="8" w:tplc="3C504BE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13B60"/>
    <w:rsid w:val="008F5296"/>
    <w:rsid w:val="00A472CB"/>
    <w:rsid w:val="00E13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B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B60"/>
    <w:pPr>
      <w:ind w:left="720"/>
      <w:contextualSpacing/>
    </w:pPr>
  </w:style>
  <w:style w:type="paragraph" w:styleId="Header">
    <w:name w:val="header"/>
    <w:basedOn w:val="Normal"/>
    <w:link w:val="HeaderChar"/>
    <w:uiPriority w:val="99"/>
    <w:unhideWhenUsed/>
    <w:rsid w:val="00E13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B60"/>
  </w:style>
  <w:style w:type="paragraph" w:styleId="Footer">
    <w:name w:val="footer"/>
    <w:basedOn w:val="Normal"/>
    <w:link w:val="FooterChar"/>
    <w:uiPriority w:val="99"/>
    <w:semiHidden/>
    <w:unhideWhenUsed/>
    <w:rsid w:val="00E13B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3B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638</Words>
  <Characters>3641</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1</cp:revision>
  <dcterms:created xsi:type="dcterms:W3CDTF">2018-11-10T09:10:00Z</dcterms:created>
  <dcterms:modified xsi:type="dcterms:W3CDTF">2018-11-10T09:14:00Z</dcterms:modified>
</cp:coreProperties>
</file>